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pStyle w:val="4"/>
        <w:keepNext/>
        <w:keepLines/>
        <w:spacing w:after="520"/>
        <w:ind w:firstLine="0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专项职业能力考核规范编写要求</w:t>
      </w:r>
    </w:p>
    <w:p>
      <w:pPr>
        <w:pStyle w:val="5"/>
        <w:tabs>
          <w:tab w:val="left" w:pos="1271"/>
        </w:tabs>
        <w:snapToGrid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bookmarkStart w:id="0" w:name="bookmark46"/>
      <w:r>
        <w:rPr>
          <w:rFonts w:hint="eastAsia" w:ascii="黑体" w:hAnsi="黑体" w:eastAsia="黑体" w:cs="黑体"/>
          <w:sz w:val="32"/>
          <w:szCs w:val="32"/>
        </w:rPr>
        <w:t>一</w:t>
      </w:r>
      <w:bookmarkEnd w:id="0"/>
      <w:r>
        <w:rPr>
          <w:rFonts w:hint="eastAsia" w:ascii="黑体" w:hAnsi="黑体" w:eastAsia="黑体" w:cs="黑体"/>
          <w:sz w:val="32"/>
          <w:szCs w:val="32"/>
        </w:rPr>
        <w:t>、专项职业能力的确立原则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bookmarkStart w:id="1" w:name="bookmark47"/>
      <w:r>
        <w:rPr>
          <w:rFonts w:hint="eastAsia" w:ascii="楷体_GB2312" w:hAnsi="仿宋_GB2312" w:eastAsia="楷体_GB2312" w:cs="仿宋_GB2312"/>
          <w:sz w:val="32"/>
          <w:szCs w:val="32"/>
        </w:rPr>
        <w:t>（</w:t>
      </w:r>
      <w:bookmarkEnd w:id="1"/>
      <w:r>
        <w:rPr>
          <w:rFonts w:hint="eastAsia" w:ascii="楷体_GB2312" w:hAnsi="仿宋_GB2312" w:eastAsia="楷体_GB2312" w:cs="仿宋_GB2312"/>
          <w:sz w:val="32"/>
          <w:szCs w:val="32"/>
        </w:rPr>
        <w:t>一）可就业的最小技能单元原则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专项职业能力是一个可就业的最小技能单元。“可就业”是指社会上有一部分相对稳定的人员凭借此项能力就业谋生；“最小”是指它的适用范围小于“职业”，作为一项就业技能，它不可再拆分，不划分等级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楷体_GB2312" w:hAnsi="仿宋_GB2312" w:eastAsia="楷体_GB2312" w:cs="仿宋_GB2312"/>
          <w:sz w:val="32"/>
          <w:szCs w:val="32"/>
        </w:rPr>
      </w:pPr>
      <w:bookmarkStart w:id="2" w:name="bookmark48"/>
      <w:r>
        <w:rPr>
          <w:rFonts w:hint="eastAsia" w:ascii="楷体_GB2312" w:hAnsi="仿宋_GB2312" w:eastAsia="楷体_GB2312" w:cs="仿宋_GB2312"/>
          <w:sz w:val="32"/>
          <w:szCs w:val="32"/>
        </w:rPr>
        <w:t>（</w:t>
      </w:r>
      <w:bookmarkEnd w:id="2"/>
      <w:r>
        <w:rPr>
          <w:rFonts w:hint="eastAsia" w:ascii="楷体_GB2312" w:hAnsi="仿宋_GB2312" w:eastAsia="楷体_GB2312" w:cs="仿宋_GB2312"/>
          <w:sz w:val="32"/>
          <w:szCs w:val="32"/>
        </w:rPr>
        <w:t>二）技术性原则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技术性是指专项职业能力具有一定的技术含量。掌握这项能 力需要经过师傅的指导或相应的实操培训。简单体力劳动不能作 为专项职业能力。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楷体_GB2312" w:hAnsi="仿宋_GB2312" w:eastAsia="楷体_GB2312" w:cs="仿宋_GB2312"/>
          <w:sz w:val="32"/>
          <w:szCs w:val="32"/>
        </w:rPr>
      </w:pPr>
      <w:bookmarkStart w:id="3" w:name="bookmark49"/>
      <w:r>
        <w:rPr>
          <w:rFonts w:hint="eastAsia" w:ascii="楷体_GB2312" w:hAnsi="仿宋_GB2312" w:eastAsia="楷体_GB2312" w:cs="仿宋_GB2312"/>
          <w:sz w:val="32"/>
          <w:szCs w:val="32"/>
        </w:rPr>
        <w:t>（</w:t>
      </w:r>
      <w:bookmarkEnd w:id="3"/>
      <w:r>
        <w:rPr>
          <w:rFonts w:hint="eastAsia" w:ascii="楷体_GB2312" w:hAnsi="仿宋_GB2312" w:eastAsia="楷体_GB2312" w:cs="仿宋_GB2312"/>
          <w:sz w:val="32"/>
          <w:szCs w:val="32"/>
        </w:rPr>
        <w:t>三）与国家职业衔接的原则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凡能与国家职业标准中的模块直接对应的专项职业能力，且 符合最小技能单元原则，该专项职业能力培训与考核时应遵循标 准中相应模块初级工的要求，不必单独编写考核规范。</w:t>
      </w:r>
    </w:p>
    <w:p>
      <w:pPr>
        <w:pStyle w:val="5"/>
        <w:snapToGrid w:val="0"/>
        <w:spacing w:line="620" w:lineRule="exact"/>
        <w:ind w:firstLine="600" w:firstLineChars="200"/>
        <w:jc w:val="both"/>
        <w:rPr>
          <w:rFonts w:ascii="黑体" w:hAnsi="黑体" w:eastAsia="PMingLiU" w:cs="黑体"/>
          <w:sz w:val="30"/>
          <w:szCs w:val="30"/>
        </w:rPr>
      </w:pPr>
      <w:bookmarkStart w:id="4" w:name="bookmark50"/>
      <w:r>
        <w:rPr>
          <w:rFonts w:hint="eastAsia" w:ascii="黑体" w:hAnsi="黑体" w:eastAsia="黑体" w:cs="黑体"/>
          <w:sz w:val="30"/>
          <w:szCs w:val="30"/>
        </w:rPr>
        <w:t>二</w:t>
      </w:r>
      <w:bookmarkEnd w:id="4"/>
      <w:r>
        <w:rPr>
          <w:rFonts w:hint="eastAsia" w:ascii="黑体" w:hAnsi="黑体" w:eastAsia="黑体" w:cs="黑体"/>
          <w:sz w:val="30"/>
          <w:szCs w:val="30"/>
        </w:rPr>
        <w:t>、名称</w:t>
      </w:r>
    </w:p>
    <w:p>
      <w:pPr>
        <w:pStyle w:val="5"/>
        <w:tabs>
          <w:tab w:val="left" w:pos="1271"/>
        </w:tabs>
        <w:snapToGrid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“具</w:t>
      </w:r>
      <w:r>
        <w:rPr>
          <w:rFonts w:hint="eastAsia" w:ascii="仿宋_GB2312" w:hAnsi="仿宋_GB2312" w:eastAsia="仿宋_GB2312" w:cs="仿宋_GB2312"/>
          <w:sz w:val="32"/>
          <w:szCs w:val="32"/>
        </w:rPr>
        <w:t>体产品或服务的名称+动词”来进行表述，如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 xml:space="preserve">“拉 </w:t>
      </w:r>
      <w:r>
        <w:rPr>
          <w:rFonts w:hint="eastAsia" w:ascii="仿宋_GB2312" w:hAnsi="仿宋_GB2312" w:eastAsia="仿宋_GB2312" w:cs="仿宋_GB2312"/>
          <w:sz w:val="32"/>
          <w:szCs w:val="32"/>
        </w:rPr>
        <w:t>面制作”、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绿化”等。专项职业能力的名称不能与工种或职业名称雷同。因此，专项职业能力名称后不能有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“工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“员”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或“师”等表示工种或职业名称的词。</w:t>
      </w:r>
    </w:p>
    <w:p>
      <w:pPr>
        <w:pStyle w:val="5"/>
        <w:tabs>
          <w:tab w:val="left" w:pos="1266"/>
        </w:tabs>
        <w:snapToGrid w:val="0"/>
        <w:spacing w:line="620" w:lineRule="exact"/>
        <w:ind w:firstLine="600" w:firstLineChars="200"/>
        <w:jc w:val="both"/>
        <w:rPr>
          <w:rFonts w:ascii="黑体" w:hAnsi="黑体" w:eastAsia="黑体" w:cs="黑体"/>
          <w:sz w:val="30"/>
          <w:szCs w:val="30"/>
        </w:rPr>
      </w:pPr>
      <w:bookmarkStart w:id="5" w:name="bookmark51"/>
      <w:r>
        <w:rPr>
          <w:rFonts w:hint="eastAsia" w:ascii="黑体" w:hAnsi="黑体" w:eastAsia="黑体" w:cs="黑体"/>
          <w:sz w:val="30"/>
          <w:szCs w:val="30"/>
        </w:rPr>
        <w:t>三</w:t>
      </w:r>
      <w:bookmarkEnd w:id="5"/>
      <w:r>
        <w:rPr>
          <w:rFonts w:hint="eastAsia" w:ascii="黑体" w:hAnsi="黑体" w:eastAsia="黑体" w:cs="黑体"/>
          <w:sz w:val="30"/>
          <w:szCs w:val="30"/>
        </w:rPr>
        <w:t>、定义</w:t>
      </w:r>
    </w:p>
    <w:p>
      <w:pPr>
        <w:pStyle w:val="5"/>
        <w:tabs>
          <w:tab w:val="left" w:leader="dot" w:pos="4702"/>
        </w:tabs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一般应按照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“运用……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工具设备或材料，在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场所、环境或条件下进行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制作或提供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服务的能力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格式来定义专 项职业能力。如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“服</w:t>
      </w:r>
      <w:r>
        <w:rPr>
          <w:rFonts w:hint="eastAsia" w:ascii="仿宋_GB2312" w:hAnsi="仿宋_GB2312" w:eastAsia="仿宋_GB2312" w:cs="仿宋_GB2312"/>
          <w:sz w:val="32"/>
          <w:szCs w:val="32"/>
        </w:rPr>
        <w:t>装缝纫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一一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利用服装缝纫设备和服装材料， 将各款服装裁片缝合成服装的能力”。</w:t>
      </w:r>
    </w:p>
    <w:p>
      <w:pPr>
        <w:pStyle w:val="5"/>
        <w:tabs>
          <w:tab w:val="left" w:pos="1266"/>
        </w:tabs>
        <w:snapToGrid w:val="0"/>
        <w:spacing w:after="180" w:line="620" w:lineRule="exact"/>
        <w:ind w:firstLine="600" w:firstLineChars="200"/>
        <w:jc w:val="both"/>
        <w:rPr>
          <w:sz w:val="30"/>
          <w:szCs w:val="30"/>
        </w:rPr>
      </w:pPr>
      <w:bookmarkStart w:id="6" w:name="bookmark52"/>
      <w:r>
        <w:rPr>
          <w:rFonts w:hint="eastAsia" w:ascii="黑体" w:hAnsi="黑体" w:eastAsia="黑体" w:cs="黑体"/>
          <w:sz w:val="30"/>
          <w:szCs w:val="30"/>
        </w:rPr>
        <w:t>四</w:t>
      </w:r>
      <w:bookmarkEnd w:id="6"/>
      <w:r>
        <w:rPr>
          <w:rFonts w:hint="eastAsia" w:ascii="黑体" w:hAnsi="黑体" w:eastAsia="黑体" w:cs="黑体"/>
          <w:sz w:val="30"/>
          <w:szCs w:val="30"/>
        </w:rPr>
        <w:t>、适用对象</w:t>
      </w:r>
    </w:p>
    <w:p>
      <w:pPr>
        <w:pStyle w:val="5"/>
        <w:snapToGrid w:val="0"/>
        <w:spacing w:after="220"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指本标准所适用的人群，即运用或准备运用本项能力求职、就业的人员。</w:t>
      </w:r>
    </w:p>
    <w:p>
      <w:pPr>
        <w:pStyle w:val="5"/>
        <w:tabs>
          <w:tab w:val="left" w:pos="1266"/>
        </w:tabs>
        <w:snapToGrid w:val="0"/>
        <w:spacing w:after="180" w:line="620" w:lineRule="exact"/>
        <w:ind w:firstLine="600" w:firstLineChars="2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五、考核内容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4"/>
        <w:gridCol w:w="2599"/>
        <w:gridCol w:w="2369"/>
        <w:gridCol w:w="17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能力名称：</w:t>
            </w:r>
          </w:p>
        </w:tc>
        <w:tc>
          <w:tcPr>
            <w:tcW w:w="668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职业领域：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工作任务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操作规范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相关知识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考核比重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after="180"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1. ......</w:t>
            </w:r>
          </w:p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2.......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after="180"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1.......</w:t>
            </w:r>
          </w:p>
          <w:p>
            <w:pPr>
              <w:pStyle w:val="6"/>
              <w:tabs>
                <w:tab w:val="left" w:leader="dot" w:pos="1037"/>
              </w:tabs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ab/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after="180"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1. ......</w:t>
            </w:r>
          </w:p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2.......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after="180"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  <w:p>
            <w:pPr>
              <w:pStyle w:val="6"/>
              <w:tabs>
                <w:tab w:val="left" w:leader="dot" w:pos="1037"/>
              </w:tabs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ab/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tabs>
                <w:tab w:val="left" w:leader="dot" w:pos="533"/>
              </w:tabs>
              <w:snapToGrid w:val="0"/>
              <w:spacing w:line="620" w:lineRule="exact"/>
              <w:ind w:firstLine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ab/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 w:val="0"/>
              <w:spacing w:line="620" w:lineRule="exact"/>
              <w:ind w:firstLine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 w:val="0"/>
              <w:spacing w:line="620" w:lineRule="exact"/>
              <w:ind w:firstLine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620" w:lineRule="exact"/>
              <w:ind w:firstLine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</w:tr>
    </w:tbl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职业领域：是指专项职业能力所对应的职业（《中华人民共 和国职业分类大典》中的细类）。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工作任务：是指完成该专项职业能力范围内的全部工作必须 经过的主要步骤或程序。需按先后顺序列出。一般情况下，每个 专项职业能力下应列出3项以上的工作任务。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操作规范：是指每一个操作步骤应该达到的要求、标准或阶 段性的具体工作成果。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相关知识：是指完成相应的工作步骤必须掌握的知识，包括 工具设备的知识，安全、卫生、环境保护等方面的知识及有关注 意事项。按照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“干</w:t>
      </w:r>
      <w:r>
        <w:rPr>
          <w:rFonts w:hint="eastAsia" w:ascii="仿宋_GB2312" w:hAnsi="仿宋_GB2312" w:eastAsia="仿宋_GB2312" w:cs="仿宋_GB2312"/>
          <w:sz w:val="32"/>
          <w:szCs w:val="32"/>
        </w:rPr>
        <w:t>什么，学什么”的原则，列出跟每一个具体操 作步骤直接相关的知识点。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考核比重：根据每项具体工作或阶段性成果的重要性及技术 复杂程度确定其在考核中应占的比重，用百分比（%）表示。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</w:rPr>
      </w:pPr>
      <w:bookmarkStart w:id="7" w:name="bookmark53"/>
      <w:r>
        <w:rPr>
          <w:rFonts w:hint="eastAsia" w:ascii="黑体" w:hAnsi="黑体" w:eastAsia="黑体" w:cs="仿宋_GB2312"/>
          <w:sz w:val="32"/>
          <w:szCs w:val="32"/>
        </w:rPr>
        <w:t>六</w:t>
      </w:r>
      <w:bookmarkEnd w:id="7"/>
      <w:r>
        <w:rPr>
          <w:rFonts w:hint="eastAsia" w:ascii="黑体" w:hAnsi="黑体" w:eastAsia="黑体" w:cs="仿宋_GB2312"/>
          <w:sz w:val="32"/>
          <w:szCs w:val="32"/>
        </w:rPr>
        <w:t>、考核要求</w:t>
      </w:r>
      <w:bookmarkStart w:id="8" w:name="bookmark54"/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</w:t>
      </w:r>
      <w:bookmarkEnd w:id="8"/>
      <w:r>
        <w:rPr>
          <w:rFonts w:hint="eastAsia" w:ascii="楷体_GB2312" w:hAnsi="仿宋_GB2312" w:eastAsia="楷体_GB2312" w:cs="仿宋_GB2312"/>
          <w:sz w:val="32"/>
          <w:szCs w:val="32"/>
        </w:rPr>
        <w:t>.申报条件。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申请参加鉴定的人员应具备的条件。如：达 到法定劳动年龄、具有相应技能的劳动者均可申报。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9" w:name="bookmark55"/>
      <w:r>
        <w:rPr>
          <w:rFonts w:hint="eastAsia" w:ascii="楷体_GB2312" w:hAnsi="仿宋_GB2312" w:eastAsia="楷体_GB2312" w:cs="仿宋_GB2312"/>
          <w:sz w:val="32"/>
          <w:szCs w:val="32"/>
        </w:rPr>
        <w:t>2</w:t>
      </w:r>
      <w:bookmarkEnd w:id="9"/>
      <w:r>
        <w:rPr>
          <w:rFonts w:hint="eastAsia" w:ascii="楷体_GB2312" w:hAnsi="仿宋_GB2312" w:eastAsia="楷体_GB2312" w:cs="仿宋_GB2312"/>
          <w:sz w:val="32"/>
          <w:szCs w:val="32"/>
        </w:rPr>
        <w:t>.考评员构成。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指实际操作考核中考评员的数量、组成。 根据各个专项职业能力的具体情况确定。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0" w:name="bookmark56"/>
      <w:r>
        <w:rPr>
          <w:rFonts w:hint="eastAsia" w:ascii="楷体_GB2312" w:hAnsi="仿宋_GB2312" w:eastAsia="楷体_GB2312" w:cs="仿宋_GB2312"/>
          <w:sz w:val="32"/>
          <w:szCs w:val="32"/>
        </w:rPr>
        <w:t>3</w:t>
      </w:r>
      <w:bookmarkEnd w:id="10"/>
      <w:r>
        <w:rPr>
          <w:rFonts w:ascii="楷体_GB2312" w:hAnsi="仿宋_GB2312" w:eastAsia="楷体_GB2312" w:cs="仿宋_GB2312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sz w:val="32"/>
          <w:szCs w:val="32"/>
        </w:rPr>
        <w:t>考核方式与考核时间。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根据各个专项职业能力的特点和 具体情况，确定的实际操作考核的项目、方式和时间。实际操作 考核实行百分制，60分以上（含60分）为合格。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一般不单独考核理论知识。但对技术复杂性较强、安全要求 较高、影响消费者安全与健康的专项职业能力，考核内容中必须 包含相关法律法规、安全操作和卫生知识。</w:t>
      </w:r>
    </w:p>
    <w:p>
      <w:pPr>
        <w:pStyle w:val="5"/>
        <w:snapToGrid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  <w:sectPr>
          <w:pgSz w:w="11900" w:h="16840"/>
          <w:pgMar w:top="1839" w:right="1539" w:bottom="2114" w:left="1469" w:header="1411" w:footer="3" w:gutter="0"/>
          <w:cols w:space="720" w:num="1"/>
          <w:docGrid w:linePitch="360" w:charSpace="0"/>
        </w:sectPr>
      </w:pPr>
      <w:bookmarkStart w:id="11" w:name="bookmark57"/>
      <w:r>
        <w:rPr>
          <w:rFonts w:hint="eastAsia" w:ascii="楷体_GB2312" w:hAnsi="仿宋_GB2312" w:eastAsia="楷体_GB2312" w:cs="仿宋_GB2312"/>
          <w:sz w:val="32"/>
          <w:szCs w:val="32"/>
        </w:rPr>
        <w:t>4</w:t>
      </w:r>
      <w:bookmarkEnd w:id="11"/>
      <w:r>
        <w:rPr>
          <w:rFonts w:ascii="楷体_GB2312" w:hAnsi="仿宋_GB2312" w:eastAsia="楷体_GB2312" w:cs="仿宋_GB2312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sz w:val="32"/>
          <w:szCs w:val="32"/>
        </w:rPr>
        <w:t>鉴定场地设备要求。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指实施本职业鉴定所必备的场所和 设备、工具等。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qFormat/>
    <w:uiPriority w:val="0"/>
    <w:pPr>
      <w:widowControl w:val="0"/>
      <w:spacing w:after="500"/>
      <w:ind w:firstLine="320"/>
      <w:jc w:val="center"/>
      <w:outlineLvl w:val="1"/>
    </w:pPr>
    <w:rPr>
      <w:rFonts w:ascii="宋体" w:hAnsi="宋体" w:eastAsia="宋体" w:cs="宋体"/>
      <w:color w:val="000000"/>
      <w:sz w:val="42"/>
      <w:szCs w:val="42"/>
      <w:lang w:val="zh-TW" w:eastAsia="zh-TW" w:bidi="zh-TW"/>
    </w:rPr>
  </w:style>
  <w:style w:type="paragraph" w:customStyle="1" w:styleId="5">
    <w:name w:val="Body text|1"/>
    <w:qFormat/>
    <w:uiPriority w:val="0"/>
    <w:pPr>
      <w:widowControl w:val="0"/>
      <w:spacing w:line="413" w:lineRule="auto"/>
      <w:ind w:firstLine="400"/>
    </w:pPr>
    <w:rPr>
      <w:rFonts w:ascii="宋体" w:hAnsi="宋体" w:eastAsia="宋体" w:cs="宋体"/>
      <w:color w:val="000000"/>
      <w:sz w:val="28"/>
      <w:szCs w:val="28"/>
      <w:lang w:val="zh-TW" w:eastAsia="zh-TW" w:bidi="zh-TW"/>
    </w:rPr>
  </w:style>
  <w:style w:type="paragraph" w:customStyle="1" w:styleId="6">
    <w:name w:val="Other|1"/>
    <w:qFormat/>
    <w:uiPriority w:val="0"/>
    <w:pPr>
      <w:widowControl w:val="0"/>
      <w:spacing w:line="413" w:lineRule="auto"/>
      <w:ind w:firstLine="400"/>
    </w:pPr>
    <w:rPr>
      <w:rFonts w:ascii="宋体" w:hAnsi="宋体" w:eastAsia="宋体" w:cs="宋体"/>
      <w:color w:val="00000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2021-01-25T02:42:45Z</dcterms:created>
  <dc:creator>Administrator</dc:creator>
  <cp:lastModifiedBy>Administrator</cp:lastModifiedBy>
  <dcterms:modified xsi:type="dcterms:W3CDTF">2021-01-25T02:42:55Z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