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39" w:rsidRPr="00933D91" w:rsidRDefault="007D4039" w:rsidP="005225C7">
      <w:pPr>
        <w:pStyle w:val="NormalWeb"/>
        <w:shd w:val="clear" w:color="auto" w:fill="FFFFFF"/>
        <w:spacing w:before="0" w:beforeAutospacing="0" w:after="0" w:afterAutospacing="0" w:line="300" w:lineRule="exact"/>
        <w:jc w:val="center"/>
        <w:rPr>
          <w:rFonts w:ascii="微软雅黑" w:eastAsia="微软雅黑" w:hAnsi="微软雅黑"/>
          <w:color w:val="000000"/>
          <w:spacing w:val="8"/>
          <w:sz w:val="26"/>
          <w:szCs w:val="26"/>
        </w:rPr>
      </w:pPr>
      <w:r w:rsidRPr="00933D91">
        <w:rPr>
          <w:rStyle w:val="Strong"/>
          <w:rFonts w:ascii="微软雅黑" w:eastAsia="微软雅黑" w:hAnsi="微软雅黑" w:cs="宋体" w:hint="eastAsia"/>
          <w:color w:val="000000"/>
          <w:spacing w:val="8"/>
          <w:sz w:val="27"/>
          <w:szCs w:val="27"/>
        </w:rPr>
        <w:t>人力资源市场暂行条例</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center"/>
        <w:rPr>
          <w:rFonts w:ascii="微软雅黑" w:eastAsia="微软雅黑" w:hAnsi="微软雅黑"/>
          <w:color w:val="000000"/>
          <w:spacing w:val="8"/>
          <w:sz w:val="26"/>
          <w:szCs w:val="26"/>
        </w:rPr>
      </w:pPr>
      <w:r w:rsidRPr="00933D91">
        <w:rPr>
          <w:rStyle w:val="Strong"/>
          <w:rFonts w:ascii="微软雅黑" w:eastAsia="微软雅黑" w:hAnsi="微软雅黑" w:cs="宋体" w:hint="eastAsia"/>
          <w:color w:val="000000"/>
          <w:spacing w:val="8"/>
          <w:sz w:val="26"/>
          <w:szCs w:val="26"/>
        </w:rPr>
        <w:t>第一章　总　　则</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第一条　为了规范人力资源市场活动，促进人力资源合理流动和优化配置，促进就业创业，根据《中华人民共和国就业促进法》和有关法律，制定本条例。</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第二条　在中华人民共和国境内通过人力资源市场求职、招聘和开展人力资源服务，适用本条例。</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法律、行政法规和国务院规定对求职、招聘和开展人力资源服务另有规定的，从其规定。</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第三条　通过人力资源市场求职、招聘和开展人力资源服务，应当遵循合法、公平、诚实信用的原则。</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第四条　国务院人力资源社会保障行政部门负责全国人力资源市场的统筹规划和综合管理工作。</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县级以上地方人民政府人力资源社会保障行政部门负责本行政区域人力资源市场的管理工作。</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县级以上人民政府发展改革、教育、公安、财政、商务、税务、市场监督管理等有关部门在各自职责范围内做好人力资源市场的管理工作。</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第五条　国家加强人力资源服务标准化建设，发挥人力资源服务标准在行业引导、服务规范、市场监管等方面的作用。</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第六条　人力资源服务行业协会应当依照法律、法规、规章及其章程的规定，制定行业自律规范，推进行业诚信建设，提高服务质量，对会员的人力资源服务活动进行指导、监督，依法维护会员合法权益，反映会员诉求，促进行业公平竞争。</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center"/>
        <w:rPr>
          <w:rFonts w:ascii="微软雅黑" w:eastAsia="微软雅黑" w:hAnsi="微软雅黑"/>
          <w:color w:val="000000"/>
          <w:spacing w:val="8"/>
          <w:sz w:val="26"/>
          <w:szCs w:val="26"/>
        </w:rPr>
      </w:pPr>
      <w:r w:rsidRPr="00933D91">
        <w:rPr>
          <w:rStyle w:val="Strong"/>
          <w:rFonts w:ascii="微软雅黑" w:eastAsia="微软雅黑" w:hAnsi="微软雅黑" w:cs="宋体" w:hint="eastAsia"/>
          <w:color w:val="000000"/>
          <w:spacing w:val="8"/>
          <w:sz w:val="26"/>
          <w:szCs w:val="26"/>
        </w:rPr>
        <w:t>第二章　人力资源市场培育</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第七条　国家建立统一开放、竞争有序的人力资源市场体系，发挥市场在人力资源配置中的决定性作用，健全人力资源开发机制，激发人力资源创新创造创业活力，促进人力资源市场繁荣发展。</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第八条　国家建立政府宏观调控、市场公平竞争、单位自主用人、个人自主择业、人力资源服务机构诚信服务的人力资源流动配置机制，促进人力资源自由有序流动。</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第九条　县级以上人民政府应当将人力资源市场建设纳入国民经济和社会发展规划，运用区域、产业、土地等政策，推进人力资源市场建设，发展专业性、行业性人力资源市场，鼓励并规范高端人力资源服务等业态发展，提高人力资源服务业发展水平。</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国家鼓励社会力量参与人力资源市场建设。</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第十条　县级以上人民政府建立覆盖城乡和各行业的人力资源市场供求信息系统，完善市场信息发布制度，为求职、招聘提供服务。</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第十一条　国家引导和促进人力资源在机关、企业、事业单位、社会组织之间以及不同地区之间合理流动。任何地方和单位不得违反国家规定在户籍、地域、身份等方面设置限制人力资源流动的条件。</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第十二条　人力资源社会保障行政部门应当加强人力资源市场监管，维护市场秩序，保障公平竞争。</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第十三条　国家鼓励开展平等、互利的人力资源国际合作与交流，充分开发利用国际国内人力资源。</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center"/>
        <w:rPr>
          <w:rFonts w:ascii="微软雅黑" w:eastAsia="微软雅黑" w:hAnsi="微软雅黑"/>
          <w:color w:val="000000"/>
          <w:spacing w:val="8"/>
          <w:sz w:val="26"/>
          <w:szCs w:val="26"/>
        </w:rPr>
      </w:pPr>
      <w:r w:rsidRPr="00933D91">
        <w:rPr>
          <w:rStyle w:val="Strong"/>
          <w:rFonts w:ascii="微软雅黑" w:eastAsia="微软雅黑" w:hAnsi="微软雅黑" w:cs="宋体" w:hint="eastAsia"/>
          <w:color w:val="000000"/>
          <w:spacing w:val="8"/>
          <w:sz w:val="26"/>
          <w:szCs w:val="26"/>
        </w:rPr>
        <w:t>第三章　人力资源服务机构</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第十四条　本条例所称人力资源服务机构，包括公共人力资源服务机构和经营性人力资源服务机构。</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公共人力资源服务机构，是指县级以上人民政府设立的公共就业和人才服务机构。</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经营性人力资源服务机构，是指依法设立的从事人力资源服务经营活动的机构。</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第十五条　公共人力资源服务机构提供下列服务</w:t>
      </w:r>
      <w:r w:rsidRPr="00933D91">
        <w:rPr>
          <w:rFonts w:ascii="微软雅黑" w:eastAsia="微软雅黑" w:hAnsi="微软雅黑"/>
          <w:color w:val="000000"/>
          <w:spacing w:val="8"/>
          <w:sz w:val="26"/>
          <w:szCs w:val="26"/>
        </w:rPr>
        <w:t>,</w:t>
      </w:r>
      <w:r w:rsidRPr="00933D91">
        <w:rPr>
          <w:rFonts w:ascii="微软雅黑" w:eastAsia="微软雅黑" w:hAnsi="微软雅黑" w:hint="eastAsia"/>
          <w:color w:val="000000"/>
          <w:spacing w:val="8"/>
          <w:sz w:val="26"/>
          <w:szCs w:val="26"/>
        </w:rPr>
        <w:t>不得收费：</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（一）人力资源供求、市场工资指导价位、职业培训等信息发布；</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（二）职业介绍、职业指导和创业开业指导；</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（三）就业创业和人才政策法规咨询；</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（四）对就业困难人员实施就业援助；</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（五）办理就业登记、失业登记等事务；</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（六）办理高等学校、中等职业学校、技工学校毕业生接收手续；</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（七）流动人员人事档案管理；</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（八）县级以上人民政府确定的其他服务。</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第十六条　公共人力资源服务机构应当加强信息化建设，不断提高服务质量和效率。</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公共人力资源服务经费纳入政府预算。人力资源社会保障行政部门应当依法加强公共人力资源服务经费管理。</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第十七条　国家通过政府购买服务等方式支持经营性人力资源服务机构提供公益性人力资源服务。</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第十八条　经营性人力资源服务机构从事职业中介活动的，应当依法向人力资源社会保障行政部门申请行政许可，取得人力资源服务许可证。</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经营性人力资源服务机构开展人力资源供求信息的收集和发布、就业和创业指导、人力资源管理咨询、人力资源测评、人力资源培训、承接人力资源服务外包等人力资源服务业务的，应当自开展业务之日起</w:t>
      </w:r>
      <w:r w:rsidRPr="00933D91">
        <w:rPr>
          <w:rFonts w:ascii="微软雅黑" w:eastAsia="微软雅黑" w:hAnsi="微软雅黑"/>
          <w:color w:val="000000"/>
          <w:spacing w:val="8"/>
          <w:sz w:val="26"/>
          <w:szCs w:val="26"/>
        </w:rPr>
        <w:t>15</w:t>
      </w:r>
      <w:r w:rsidRPr="00933D91">
        <w:rPr>
          <w:rFonts w:ascii="微软雅黑" w:eastAsia="微软雅黑" w:hAnsi="微软雅黑" w:hint="eastAsia"/>
          <w:color w:val="000000"/>
          <w:spacing w:val="8"/>
          <w:sz w:val="26"/>
          <w:szCs w:val="26"/>
        </w:rPr>
        <w:t>日内向人力资源社会保障行政部门备案。</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经营性人力资源服务机构从事劳务派遣业务的，执行国家有关劳务派遣的规定。</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第十九条　人力资源社会保障行政部门应当自收到经营性人力资源服务机构从事职业中介活动的申请之日起</w:t>
      </w:r>
      <w:r w:rsidRPr="00933D91">
        <w:rPr>
          <w:rFonts w:ascii="微软雅黑" w:eastAsia="微软雅黑" w:hAnsi="微软雅黑"/>
          <w:color w:val="000000"/>
          <w:spacing w:val="8"/>
          <w:sz w:val="26"/>
          <w:szCs w:val="26"/>
        </w:rPr>
        <w:t>20</w:t>
      </w:r>
      <w:r w:rsidRPr="00933D91">
        <w:rPr>
          <w:rFonts w:ascii="微软雅黑" w:eastAsia="微软雅黑" w:hAnsi="微软雅黑" w:hint="eastAsia"/>
          <w:color w:val="000000"/>
          <w:spacing w:val="8"/>
          <w:sz w:val="26"/>
          <w:szCs w:val="26"/>
        </w:rPr>
        <w:t>日内依法作出行政许可决定。符合条件的，颁发人力资源服务许可证；不符合条件的，作出不予批准的书面决定并说明理由。</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第二十条　经营性人力资源服务机构设立分支机构的，应当自工商登记办理完毕之日起</w:t>
      </w:r>
      <w:r w:rsidRPr="00933D91">
        <w:rPr>
          <w:rFonts w:ascii="微软雅黑" w:eastAsia="微软雅黑" w:hAnsi="微软雅黑"/>
          <w:color w:val="000000"/>
          <w:spacing w:val="8"/>
          <w:sz w:val="26"/>
          <w:szCs w:val="26"/>
        </w:rPr>
        <w:t>15</w:t>
      </w:r>
      <w:r w:rsidRPr="00933D91">
        <w:rPr>
          <w:rFonts w:ascii="微软雅黑" w:eastAsia="微软雅黑" w:hAnsi="微软雅黑" w:hint="eastAsia"/>
          <w:color w:val="000000"/>
          <w:spacing w:val="8"/>
          <w:sz w:val="26"/>
          <w:szCs w:val="26"/>
        </w:rPr>
        <w:t>日内，书面报告分支机构所在地人力资源社会保障行政部门。</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第二十一条　经营性人力资源服务机构变更名称、住所、法定代表人或者终止经营活动的，应当自工商变更登记或者注销登记办理完毕之日起</w:t>
      </w:r>
      <w:r w:rsidRPr="00933D91">
        <w:rPr>
          <w:rFonts w:ascii="微软雅黑" w:eastAsia="微软雅黑" w:hAnsi="微软雅黑"/>
          <w:color w:val="000000"/>
          <w:spacing w:val="8"/>
          <w:sz w:val="26"/>
          <w:szCs w:val="26"/>
        </w:rPr>
        <w:t>15</w:t>
      </w:r>
      <w:r w:rsidRPr="00933D91">
        <w:rPr>
          <w:rFonts w:ascii="微软雅黑" w:eastAsia="微软雅黑" w:hAnsi="微软雅黑" w:hint="eastAsia"/>
          <w:color w:val="000000"/>
          <w:spacing w:val="8"/>
          <w:sz w:val="26"/>
          <w:szCs w:val="26"/>
        </w:rPr>
        <w:t>日内，书面报告人力资源社会保障行政部门。</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第二十二条　人力资源社会保障行政部门应当及时向社会公布取得行政许可或者经过备案的经营性人力资源服务机构名单及其变更、延续等情况。</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center"/>
        <w:rPr>
          <w:rFonts w:ascii="微软雅黑" w:eastAsia="微软雅黑" w:hAnsi="微软雅黑"/>
          <w:color w:val="000000"/>
          <w:spacing w:val="8"/>
          <w:sz w:val="26"/>
          <w:szCs w:val="26"/>
        </w:rPr>
      </w:pPr>
      <w:r w:rsidRPr="00933D91">
        <w:rPr>
          <w:rStyle w:val="Strong"/>
          <w:rFonts w:ascii="微软雅黑" w:eastAsia="微软雅黑" w:hAnsi="微软雅黑" w:cs="宋体" w:hint="eastAsia"/>
          <w:color w:val="000000"/>
          <w:spacing w:val="8"/>
          <w:sz w:val="26"/>
          <w:szCs w:val="26"/>
        </w:rPr>
        <w:t>第四章　人力资源市场活动规范</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第二十三条　个人求职，应当如实提供本人基本信息以及与应聘岗位相关的知识、技能、工作经历等情况。</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第二十四条　用人单位发布或者向人力资源服务机构提供的单位基本情况、招聘人数、招聘条件、工作内容、工作地点、基本劳动报酬等招聘信息，应当真实、合法，不得含有民族、种族、性别、宗教信仰等方面的歧视性内容。</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用人单位自主招用人员，需要建立劳动关系的，应当依法与劳动者订立劳动合同，并按照国家有关规定办理社会保险等相关手续。</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第二十五条　人力资源流动，应当遵守法律、法规对服务期、从业限制、保密等方面的规定。</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第二十六条　人力资源服务机构接受用人单位委托招聘人员，应当要求用人单位提供招聘简章、营业执照或者有关部门批准设立的文件、经办人的身份证件、用人单位的委托证明，并对所提供材料的真实性、合法性进行审查。</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第二十七条　人力资源服务机构接受用人单位委托招聘人员或者开展其他人力资源服务，不得采取欺诈、暴力、胁迫或者其他不正当手段，不得以招聘为名牟取不正当利益，不得介绍单位或者个人从事违法活动。</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第二十八条　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举办大型现场招聘会，应当符合《大型群众性活动安全管理条例》等法律法规的规定。</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第二十九条　人力资源服务机构发布人力资源供求信息，应当建立健全信息发布审查和投诉处理机制，确保发布的信息真实、合法、有效。</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人力资源服务机构在业务活动中收集用人单位和个人信息的，不得泄露或者违法使用所知悉的商业秘密和个人信息。</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第三十条　经营性人力资源服务机构接受用人单位委托提供人力资源服务外包的，不得改变用人单位与个人的劳动关系，不得与用人单位串通侵害个人的合法权益。</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第三十一条　人力资源服务机构通过互联网提供人力资源服务的，应当遵守本条例和国家有关网络安全、互联网信息服务管理的规定。</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第三十二条　经营性人力资源服务机构应当在服务场所明示下列事项，并接受人力资源社会保障行政部门和市场监督管理、价格等主管部门的监督检查：</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（一）营业执照；</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（二）服务项目；</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（三）收费标准；</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（四）监督机关和监督电话。</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从事职业中介活动的，还应当在服务场所明示人力资源服务许可证。</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第三十三条　人力资源服务机构应当加强内部制度建设，健全财务管理制度，建立服务台账，如实记录服务对象、服务过程、服务结果等信息。服务台账应当保存</w:t>
      </w:r>
      <w:r w:rsidRPr="00933D91">
        <w:rPr>
          <w:rFonts w:ascii="微软雅黑" w:eastAsia="微软雅黑" w:hAnsi="微软雅黑"/>
          <w:color w:val="000000"/>
          <w:spacing w:val="8"/>
          <w:sz w:val="26"/>
          <w:szCs w:val="26"/>
        </w:rPr>
        <w:t>2</w:t>
      </w:r>
      <w:r w:rsidRPr="00933D91">
        <w:rPr>
          <w:rFonts w:ascii="微软雅黑" w:eastAsia="微软雅黑" w:hAnsi="微软雅黑" w:hint="eastAsia"/>
          <w:color w:val="000000"/>
          <w:spacing w:val="8"/>
          <w:sz w:val="26"/>
          <w:szCs w:val="26"/>
        </w:rPr>
        <w:t>年以上。</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center"/>
        <w:rPr>
          <w:rFonts w:ascii="微软雅黑" w:eastAsia="微软雅黑" w:hAnsi="微软雅黑"/>
          <w:color w:val="000000"/>
          <w:spacing w:val="8"/>
          <w:sz w:val="26"/>
          <w:szCs w:val="26"/>
        </w:rPr>
      </w:pPr>
      <w:r w:rsidRPr="00933D91">
        <w:rPr>
          <w:rStyle w:val="Strong"/>
          <w:rFonts w:ascii="微软雅黑" w:eastAsia="微软雅黑" w:hAnsi="微软雅黑" w:cs="宋体" w:hint="eastAsia"/>
          <w:color w:val="000000"/>
          <w:spacing w:val="8"/>
          <w:sz w:val="26"/>
          <w:szCs w:val="26"/>
        </w:rPr>
        <w:t>第五章　监督管理</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第三十四条　人力资源社会保障行政部门对经营性人力资源服务机构实施监督检查，可以采取下列措施：</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（一）进入被检查单位进行检查；</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（二）询问有关人员，查阅服务台账等服务信息档案；</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（三）要求被检查单位提供与检查事项相关的文件资料，并作出解释和说明；</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（四）采取记录、录音、录像、照相或者复制等方式收集有关情况和资料；</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（五）法律、法规规定的其他措施。</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人力资源社会保障行政部门实施监督检查时，监督检查人员不得少于</w:t>
      </w:r>
      <w:r w:rsidRPr="00933D91">
        <w:rPr>
          <w:rFonts w:ascii="微软雅黑" w:eastAsia="微软雅黑" w:hAnsi="微软雅黑"/>
          <w:color w:val="000000"/>
          <w:spacing w:val="8"/>
          <w:sz w:val="26"/>
          <w:szCs w:val="26"/>
        </w:rPr>
        <w:t>2</w:t>
      </w:r>
      <w:r w:rsidRPr="00933D91">
        <w:rPr>
          <w:rFonts w:ascii="微软雅黑" w:eastAsia="微软雅黑" w:hAnsi="微软雅黑" w:hint="eastAsia"/>
          <w:color w:val="000000"/>
          <w:spacing w:val="8"/>
          <w:sz w:val="26"/>
          <w:szCs w:val="26"/>
        </w:rPr>
        <w:t>人，应当出示执法证件，并对被检查单位的商业秘密予以保密。</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对人力资源社会保障行政部门依法进行的监督检查，被检查单位应当配合，如实提供相关资料和信息，不得隐瞒、拒绝、阻碍。</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第三十五条　人力资源社会保障行政部门采取随机抽取检查对象、随机选派执法人员的方式实施监督检查。</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监督检查的情况应当及时向社会公布。其中，行政处罚、监督检查结果可以通过国家企业信用信息公示系统或者其他系统向社会公示。</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第三十六条　经营性人力资源服务机构应当在规定期限内，向人力资源社会保障行政部门提交经营情况年度报告。人力资源社会保障行政部门可以依法公示或者引导经营性人力资源服务机构依法公示年度报告的有关内容。</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人力资源社会保障行政部门应当加强与市场监督管理等部门的信息共享。通过信息共享可以获取的信息，不得要求经营性人力资源服务机构重复提供。</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第三十七条　人力资源社会保障行政部门应当加强人力资源市场诚信建设，把用人单位、个人和经营性人力资源服务机构的信用数据和失信情况等纳入市场诚信建设体系，建立守信激励和失信惩戒机制，实施信用分类监管。</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第三十八条　人力资源社会保障行政部门应当按照国家有关规定，对公共人力资源服务机构进行监督管理。</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第三十九条　在人力资源服务机构中，根据中国共产党章程及有关规定，建立党的组织并开展活动，加强对流动党员的教育监督和管理服务。人力资源服务机构应当为中国共产党组织的活动提供必要条件。</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第四十条　人力资源社会保障行政部门应当畅通对用人单位和人力资源服务机构的举报投诉渠道，依法及时处理有关举报投诉。</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第四十一条　公安机关应当依法查处人力资源市场的违法犯罪行为，人力资源社会保障行政部门予以配合。</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center"/>
        <w:rPr>
          <w:rFonts w:ascii="微软雅黑" w:eastAsia="微软雅黑" w:hAnsi="微软雅黑"/>
          <w:color w:val="000000"/>
          <w:spacing w:val="8"/>
          <w:sz w:val="26"/>
          <w:szCs w:val="26"/>
        </w:rPr>
      </w:pPr>
      <w:r w:rsidRPr="00933D91">
        <w:rPr>
          <w:rStyle w:val="Strong"/>
          <w:rFonts w:ascii="微软雅黑" w:eastAsia="微软雅黑" w:hAnsi="微软雅黑" w:cs="宋体" w:hint="eastAsia"/>
          <w:color w:val="000000"/>
          <w:spacing w:val="8"/>
          <w:sz w:val="26"/>
          <w:szCs w:val="26"/>
        </w:rPr>
        <w:t>第六章　法律责任</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第四十二条　违反本条例第十八条第一款规定，未经许可擅自从事职业中介活动的，由人力资源社会保障行政部门予以关闭或者责令停止从事职业中介活动；有违法所得的，没收违法所得，并处</w:t>
      </w:r>
      <w:r w:rsidRPr="00933D91">
        <w:rPr>
          <w:rFonts w:ascii="微软雅黑" w:eastAsia="微软雅黑" w:hAnsi="微软雅黑"/>
          <w:color w:val="000000"/>
          <w:spacing w:val="8"/>
          <w:sz w:val="26"/>
          <w:szCs w:val="26"/>
        </w:rPr>
        <w:t>1</w:t>
      </w:r>
      <w:r w:rsidRPr="00933D91">
        <w:rPr>
          <w:rFonts w:ascii="微软雅黑" w:eastAsia="微软雅黑" w:hAnsi="微软雅黑" w:hint="eastAsia"/>
          <w:color w:val="000000"/>
          <w:spacing w:val="8"/>
          <w:sz w:val="26"/>
          <w:szCs w:val="26"/>
        </w:rPr>
        <w:t>万元以上</w:t>
      </w:r>
      <w:r w:rsidRPr="00933D91">
        <w:rPr>
          <w:rFonts w:ascii="微软雅黑" w:eastAsia="微软雅黑" w:hAnsi="微软雅黑"/>
          <w:color w:val="000000"/>
          <w:spacing w:val="8"/>
          <w:sz w:val="26"/>
          <w:szCs w:val="26"/>
        </w:rPr>
        <w:t>5</w:t>
      </w:r>
      <w:r w:rsidRPr="00933D91">
        <w:rPr>
          <w:rFonts w:ascii="微软雅黑" w:eastAsia="微软雅黑" w:hAnsi="微软雅黑" w:hint="eastAsia"/>
          <w:color w:val="000000"/>
          <w:spacing w:val="8"/>
          <w:sz w:val="26"/>
          <w:szCs w:val="26"/>
        </w:rPr>
        <w:t>万元以下的罚款。</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违反本条例第十八条第二款规定，开展人力资源服务业务未备案，违反本条例第二十条、第二十一条规定，设立分支机构、办理变更或者注销登记未书面报告的，由人力资源社会保障行政部门责令改正；拒不改正的，处</w:t>
      </w:r>
      <w:r w:rsidRPr="00933D91">
        <w:rPr>
          <w:rFonts w:ascii="微软雅黑" w:eastAsia="微软雅黑" w:hAnsi="微软雅黑"/>
          <w:color w:val="000000"/>
          <w:spacing w:val="8"/>
          <w:sz w:val="26"/>
          <w:szCs w:val="26"/>
        </w:rPr>
        <w:t>5000</w:t>
      </w:r>
      <w:r w:rsidRPr="00933D91">
        <w:rPr>
          <w:rFonts w:ascii="微软雅黑" w:eastAsia="微软雅黑" w:hAnsi="微软雅黑" w:hint="eastAsia"/>
          <w:color w:val="000000"/>
          <w:spacing w:val="8"/>
          <w:sz w:val="26"/>
          <w:szCs w:val="26"/>
        </w:rPr>
        <w:t>元以上</w:t>
      </w:r>
      <w:r w:rsidRPr="00933D91">
        <w:rPr>
          <w:rFonts w:ascii="微软雅黑" w:eastAsia="微软雅黑" w:hAnsi="微软雅黑"/>
          <w:color w:val="000000"/>
          <w:spacing w:val="8"/>
          <w:sz w:val="26"/>
          <w:szCs w:val="26"/>
        </w:rPr>
        <w:t>1</w:t>
      </w:r>
      <w:r w:rsidRPr="00933D91">
        <w:rPr>
          <w:rFonts w:ascii="微软雅黑" w:eastAsia="微软雅黑" w:hAnsi="微软雅黑" w:hint="eastAsia"/>
          <w:color w:val="000000"/>
          <w:spacing w:val="8"/>
          <w:sz w:val="26"/>
          <w:szCs w:val="26"/>
        </w:rPr>
        <w:t>万元以下的罚款。</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第四十三条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w:t>
      </w:r>
      <w:r w:rsidRPr="00933D91">
        <w:rPr>
          <w:rFonts w:ascii="微软雅黑" w:eastAsia="微软雅黑" w:hAnsi="微软雅黑"/>
          <w:color w:val="000000"/>
          <w:spacing w:val="8"/>
          <w:sz w:val="26"/>
          <w:szCs w:val="26"/>
        </w:rPr>
        <w:t>1</w:t>
      </w:r>
      <w:r w:rsidRPr="00933D91">
        <w:rPr>
          <w:rFonts w:ascii="微软雅黑" w:eastAsia="微软雅黑" w:hAnsi="微软雅黑" w:hint="eastAsia"/>
          <w:color w:val="000000"/>
          <w:spacing w:val="8"/>
          <w:sz w:val="26"/>
          <w:szCs w:val="26"/>
        </w:rPr>
        <w:t>万元以上</w:t>
      </w:r>
      <w:r w:rsidRPr="00933D91">
        <w:rPr>
          <w:rFonts w:ascii="微软雅黑" w:eastAsia="微软雅黑" w:hAnsi="微软雅黑"/>
          <w:color w:val="000000"/>
          <w:spacing w:val="8"/>
          <w:sz w:val="26"/>
          <w:szCs w:val="26"/>
        </w:rPr>
        <w:t>5</w:t>
      </w:r>
      <w:r w:rsidRPr="00933D91">
        <w:rPr>
          <w:rFonts w:ascii="微软雅黑" w:eastAsia="微软雅黑" w:hAnsi="微软雅黑" w:hint="eastAsia"/>
          <w:color w:val="000000"/>
          <w:spacing w:val="8"/>
          <w:sz w:val="26"/>
          <w:szCs w:val="26"/>
        </w:rPr>
        <w:t>万元以下的罚款；情节严重的，吊销人力资源服务许可证；给个人造成损害的，依法承担民事责任。违反其他法律、行政法规的，由有关主管部门依法给予处罚。</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第四十四条　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w:t>
      </w:r>
      <w:r w:rsidRPr="00933D91">
        <w:rPr>
          <w:rFonts w:ascii="微软雅黑" w:eastAsia="微软雅黑" w:hAnsi="微软雅黑"/>
          <w:color w:val="000000"/>
          <w:spacing w:val="8"/>
          <w:sz w:val="26"/>
          <w:szCs w:val="26"/>
        </w:rPr>
        <w:t>5000</w:t>
      </w:r>
      <w:r w:rsidRPr="00933D91">
        <w:rPr>
          <w:rFonts w:ascii="微软雅黑" w:eastAsia="微软雅黑" w:hAnsi="微软雅黑" w:hint="eastAsia"/>
          <w:color w:val="000000"/>
          <w:spacing w:val="8"/>
          <w:sz w:val="26"/>
          <w:szCs w:val="26"/>
        </w:rPr>
        <w:t>元以上</w:t>
      </w:r>
      <w:r w:rsidRPr="00933D91">
        <w:rPr>
          <w:rFonts w:ascii="微软雅黑" w:eastAsia="微软雅黑" w:hAnsi="微软雅黑"/>
          <w:color w:val="000000"/>
          <w:spacing w:val="8"/>
          <w:sz w:val="26"/>
          <w:szCs w:val="26"/>
        </w:rPr>
        <w:t>1</w:t>
      </w:r>
      <w:r w:rsidRPr="00933D91">
        <w:rPr>
          <w:rFonts w:ascii="微软雅黑" w:eastAsia="微软雅黑" w:hAnsi="微软雅黑" w:hint="eastAsia"/>
          <w:color w:val="000000"/>
          <w:spacing w:val="8"/>
          <w:sz w:val="26"/>
          <w:szCs w:val="26"/>
        </w:rPr>
        <w:t>万元以下的罚款。违反其他法律、行政法规的，由有关主管部门依法给予处罚。</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第四十五条　公共人力资源服务机构违反本条例规定的，由上级主管机关责令改正；拒不改正的，对直接负责的主管人员和其他直接责任人员依法给予处分。</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第四十六条　人力资源社会保障行政部门和有关主管部门及其工作人员有下列情形之一的，对直接负责的领导人员和其他直接责任人员依法给予处分：</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（一）不依法作出行政许可决定；</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（二）在办理行政许可或者备案、实施监督检查中，索取或者收受他人财物，或者谋取其他利益；</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（三）不依法履行监督职责或者监督不力，造成严重后果；</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（四）其他滥用职权、玩忽职守、徇私舞弊的情形。</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第四十七条　违反本条例规定，构成违反治安管理行为的，依法给予治安管理处罚；构成犯罪的，依法追究刑事责任。</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center"/>
        <w:rPr>
          <w:rFonts w:ascii="微软雅黑" w:eastAsia="微软雅黑" w:hAnsi="微软雅黑"/>
          <w:color w:val="000000"/>
          <w:spacing w:val="8"/>
          <w:sz w:val="26"/>
          <w:szCs w:val="26"/>
        </w:rPr>
      </w:pPr>
      <w:r w:rsidRPr="00933D91">
        <w:rPr>
          <w:rStyle w:val="Strong"/>
          <w:rFonts w:ascii="微软雅黑" w:eastAsia="微软雅黑" w:hAnsi="微软雅黑" w:cs="宋体" w:hint="eastAsia"/>
          <w:color w:val="000000"/>
          <w:spacing w:val="8"/>
          <w:sz w:val="26"/>
          <w:szCs w:val="26"/>
        </w:rPr>
        <w:t>第七章　附　　则</w:t>
      </w: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p>
    <w:p w:rsidR="007D4039" w:rsidRPr="00933D91" w:rsidRDefault="007D4039" w:rsidP="005225C7">
      <w:pPr>
        <w:pStyle w:val="NormalWeb"/>
        <w:shd w:val="clear" w:color="auto" w:fill="FFFFFF"/>
        <w:spacing w:before="0" w:beforeAutospacing="0" w:after="0" w:afterAutospacing="0" w:line="300" w:lineRule="exact"/>
        <w:jc w:val="both"/>
        <w:rPr>
          <w:rFonts w:ascii="微软雅黑" w:eastAsia="微软雅黑" w:hAnsi="微软雅黑"/>
          <w:color w:val="000000"/>
          <w:spacing w:val="8"/>
          <w:sz w:val="26"/>
          <w:szCs w:val="26"/>
        </w:rPr>
      </w:pPr>
      <w:r w:rsidRPr="00933D91">
        <w:rPr>
          <w:rFonts w:ascii="微软雅黑" w:eastAsia="微软雅黑" w:hAnsi="微软雅黑" w:hint="eastAsia"/>
          <w:color w:val="000000"/>
          <w:spacing w:val="8"/>
          <w:sz w:val="26"/>
          <w:szCs w:val="26"/>
        </w:rPr>
        <w:t>第四十八条　本条例自</w:t>
      </w:r>
      <w:r w:rsidRPr="00933D91">
        <w:rPr>
          <w:rFonts w:ascii="微软雅黑" w:eastAsia="微软雅黑" w:hAnsi="微软雅黑"/>
          <w:color w:val="000000"/>
          <w:spacing w:val="8"/>
          <w:sz w:val="26"/>
          <w:szCs w:val="26"/>
        </w:rPr>
        <w:t>2018</w:t>
      </w:r>
      <w:r w:rsidRPr="00933D91">
        <w:rPr>
          <w:rFonts w:ascii="微软雅黑" w:eastAsia="微软雅黑" w:hAnsi="微软雅黑" w:hint="eastAsia"/>
          <w:color w:val="000000"/>
          <w:spacing w:val="8"/>
          <w:sz w:val="26"/>
          <w:szCs w:val="26"/>
        </w:rPr>
        <w:t>年</w:t>
      </w:r>
      <w:r w:rsidRPr="00933D91">
        <w:rPr>
          <w:rFonts w:ascii="微软雅黑" w:eastAsia="微软雅黑" w:hAnsi="微软雅黑"/>
          <w:color w:val="000000"/>
          <w:spacing w:val="8"/>
          <w:sz w:val="26"/>
          <w:szCs w:val="26"/>
        </w:rPr>
        <w:t>10</w:t>
      </w:r>
      <w:r w:rsidRPr="00933D91">
        <w:rPr>
          <w:rFonts w:ascii="微软雅黑" w:eastAsia="微软雅黑" w:hAnsi="微软雅黑" w:hint="eastAsia"/>
          <w:color w:val="000000"/>
          <w:spacing w:val="8"/>
          <w:sz w:val="26"/>
          <w:szCs w:val="26"/>
        </w:rPr>
        <w:t>月</w:t>
      </w:r>
      <w:r w:rsidRPr="00933D91">
        <w:rPr>
          <w:rFonts w:ascii="微软雅黑" w:eastAsia="微软雅黑" w:hAnsi="微软雅黑"/>
          <w:color w:val="000000"/>
          <w:spacing w:val="8"/>
          <w:sz w:val="26"/>
          <w:szCs w:val="26"/>
        </w:rPr>
        <w:t>1</w:t>
      </w:r>
      <w:r w:rsidRPr="00933D91">
        <w:rPr>
          <w:rFonts w:ascii="微软雅黑" w:eastAsia="微软雅黑" w:hAnsi="微软雅黑" w:hint="eastAsia"/>
          <w:color w:val="000000"/>
          <w:spacing w:val="8"/>
          <w:sz w:val="26"/>
          <w:szCs w:val="26"/>
        </w:rPr>
        <w:t>日起施行。</w:t>
      </w:r>
    </w:p>
    <w:p w:rsidR="007D4039" w:rsidRPr="00933D91" w:rsidRDefault="007D4039" w:rsidP="005225C7">
      <w:pPr>
        <w:spacing w:after="0" w:line="300" w:lineRule="exact"/>
        <w:rPr>
          <w:color w:val="000000"/>
        </w:rPr>
      </w:pPr>
    </w:p>
    <w:sectPr w:rsidR="007D4039" w:rsidRPr="00933D91"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287DDE"/>
    <w:rsid w:val="00323B43"/>
    <w:rsid w:val="00393320"/>
    <w:rsid w:val="003D37D8"/>
    <w:rsid w:val="00426133"/>
    <w:rsid w:val="004358AB"/>
    <w:rsid w:val="005225C7"/>
    <w:rsid w:val="007D4039"/>
    <w:rsid w:val="008B7726"/>
    <w:rsid w:val="00933D91"/>
    <w:rsid w:val="00D31D50"/>
    <w:rsid w:val="00F97C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225C7"/>
    <w:pPr>
      <w:adjustRightInd/>
      <w:snapToGrid/>
      <w:spacing w:before="100" w:beforeAutospacing="1" w:after="100" w:afterAutospacing="1"/>
    </w:pPr>
    <w:rPr>
      <w:rFonts w:ascii="宋体" w:eastAsia="宋体" w:hAnsi="宋体" w:cs="宋体"/>
      <w:sz w:val="24"/>
      <w:szCs w:val="24"/>
    </w:rPr>
  </w:style>
  <w:style w:type="character" w:styleId="Strong">
    <w:name w:val="Strong"/>
    <w:basedOn w:val="DefaultParagraphFont"/>
    <w:uiPriority w:val="99"/>
    <w:qFormat/>
    <w:rsid w:val="005225C7"/>
    <w:rPr>
      <w:rFonts w:cs="Times New Roman"/>
      <w:b/>
      <w:bCs/>
    </w:rPr>
  </w:style>
</w:styles>
</file>

<file path=word/webSettings.xml><?xml version="1.0" encoding="utf-8"?>
<w:webSettings xmlns:r="http://schemas.openxmlformats.org/officeDocument/2006/relationships" xmlns:w="http://schemas.openxmlformats.org/wordprocessingml/2006/main">
  <w:divs>
    <w:div w:id="1886213816">
      <w:marLeft w:val="0"/>
      <w:marRight w:val="0"/>
      <w:marTop w:val="0"/>
      <w:marBottom w:val="0"/>
      <w:divBdr>
        <w:top w:val="none" w:sz="0" w:space="0" w:color="auto"/>
        <w:left w:val="none" w:sz="0" w:space="0" w:color="auto"/>
        <w:bottom w:val="none" w:sz="0" w:space="0" w:color="auto"/>
        <w:right w:val="none" w:sz="0" w:space="0" w:color="auto"/>
      </w:divBdr>
      <w:divsChild>
        <w:div w:id="1886213821">
          <w:marLeft w:val="0"/>
          <w:marRight w:val="0"/>
          <w:marTop w:val="0"/>
          <w:marBottom w:val="0"/>
          <w:divBdr>
            <w:top w:val="none" w:sz="0" w:space="0" w:color="auto"/>
            <w:left w:val="none" w:sz="0" w:space="0" w:color="auto"/>
            <w:bottom w:val="none" w:sz="0" w:space="0" w:color="auto"/>
            <w:right w:val="none" w:sz="0" w:space="0" w:color="auto"/>
          </w:divBdr>
          <w:divsChild>
            <w:div w:id="1886213822">
              <w:marLeft w:val="0"/>
              <w:marRight w:val="0"/>
              <w:marTop w:val="0"/>
              <w:marBottom w:val="0"/>
              <w:divBdr>
                <w:top w:val="none" w:sz="0" w:space="0" w:color="auto"/>
                <w:left w:val="none" w:sz="0" w:space="0" w:color="auto"/>
                <w:bottom w:val="none" w:sz="0" w:space="0" w:color="auto"/>
                <w:right w:val="none" w:sz="0" w:space="0" w:color="auto"/>
              </w:divBdr>
              <w:divsChild>
                <w:div w:id="1886213819">
                  <w:marLeft w:val="0"/>
                  <w:marRight w:val="0"/>
                  <w:marTop w:val="0"/>
                  <w:marBottom w:val="0"/>
                  <w:divBdr>
                    <w:top w:val="none" w:sz="0" w:space="0" w:color="auto"/>
                    <w:left w:val="none" w:sz="0" w:space="0" w:color="auto"/>
                    <w:bottom w:val="none" w:sz="0" w:space="0" w:color="auto"/>
                    <w:right w:val="none" w:sz="0" w:space="0" w:color="auto"/>
                  </w:divBdr>
                  <w:divsChild>
                    <w:div w:id="1886213818">
                      <w:marLeft w:val="0"/>
                      <w:marRight w:val="0"/>
                      <w:marTop w:val="0"/>
                      <w:marBottom w:val="0"/>
                      <w:divBdr>
                        <w:top w:val="none" w:sz="0" w:space="0" w:color="auto"/>
                        <w:left w:val="none" w:sz="0" w:space="0" w:color="auto"/>
                        <w:bottom w:val="none" w:sz="0" w:space="0" w:color="auto"/>
                        <w:right w:val="none" w:sz="0" w:space="0" w:color="auto"/>
                      </w:divBdr>
                      <w:divsChild>
                        <w:div w:id="1886213817">
                          <w:marLeft w:val="0"/>
                          <w:marRight w:val="0"/>
                          <w:marTop w:val="0"/>
                          <w:marBottom w:val="0"/>
                          <w:divBdr>
                            <w:top w:val="none" w:sz="0" w:space="0" w:color="auto"/>
                            <w:left w:val="none" w:sz="0" w:space="0" w:color="auto"/>
                            <w:bottom w:val="none" w:sz="0" w:space="0" w:color="auto"/>
                            <w:right w:val="none" w:sz="0" w:space="0" w:color="auto"/>
                          </w:divBdr>
                          <w:divsChild>
                            <w:div w:id="18862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753</Words>
  <Characters>4294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微软用户</cp:lastModifiedBy>
  <cp:revision>4</cp:revision>
  <dcterms:created xsi:type="dcterms:W3CDTF">2008-09-11T17:20:00Z</dcterms:created>
  <dcterms:modified xsi:type="dcterms:W3CDTF">2020-12-14T02:31:00Z</dcterms:modified>
</cp:coreProperties>
</file>